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25" w:rsidRPr="002876A1" w:rsidRDefault="002876A1">
      <w:pPr>
        <w:pStyle w:val="Naslov1"/>
        <w:jc w:val="center"/>
        <w:rPr>
          <w:color w:val="auto"/>
        </w:rPr>
      </w:pPr>
      <w:r w:rsidRPr="002876A1">
        <w:rPr>
          <w:color w:val="auto"/>
        </w:rPr>
        <w:t>PRIPREMA ZA SAT RAZREDNIKA</w:t>
      </w:r>
    </w:p>
    <w:p w:rsidR="00903625" w:rsidRPr="002876A1" w:rsidRDefault="002876A1">
      <w:pPr>
        <w:pStyle w:val="Naslov2"/>
        <w:rPr>
          <w:color w:val="auto"/>
        </w:rPr>
      </w:pPr>
      <w:r w:rsidRPr="002876A1">
        <w:rPr>
          <w:color w:val="auto"/>
        </w:rPr>
        <w:t>Tema</w:t>
      </w:r>
    </w:p>
    <w:p w:rsidR="00903625" w:rsidRPr="002876A1" w:rsidRDefault="002876A1">
      <w:r w:rsidRPr="002876A1">
        <w:t>Prijateljstvo i emocije – parlaonica: „Što je važnije u prijateljstvu – iskrenost ili osjećaji?”</w:t>
      </w:r>
    </w:p>
    <w:p w:rsidR="00903625" w:rsidRPr="002876A1" w:rsidRDefault="002876A1">
      <w:pPr>
        <w:pStyle w:val="Naslov2"/>
        <w:rPr>
          <w:color w:val="auto"/>
        </w:rPr>
      </w:pPr>
      <w:r w:rsidRPr="002876A1">
        <w:rPr>
          <w:color w:val="auto"/>
        </w:rPr>
        <w:t>Razred</w:t>
      </w:r>
    </w:p>
    <w:p w:rsidR="00903625" w:rsidRPr="002876A1" w:rsidRDefault="002876A1">
      <w:r w:rsidRPr="002876A1">
        <w:t>7. razred (dva razredna odjela)</w:t>
      </w:r>
    </w:p>
    <w:p w:rsidR="00903625" w:rsidRPr="002876A1" w:rsidRDefault="002876A1">
      <w:pPr>
        <w:pStyle w:val="Naslov2"/>
        <w:rPr>
          <w:color w:val="auto"/>
        </w:rPr>
      </w:pPr>
      <w:r w:rsidRPr="002876A1">
        <w:rPr>
          <w:color w:val="auto"/>
        </w:rPr>
        <w:t>Trajanje</w:t>
      </w:r>
    </w:p>
    <w:p w:rsidR="00903625" w:rsidRPr="002876A1" w:rsidRDefault="002876A1">
      <w:r w:rsidRPr="002876A1">
        <w:t>45 minuta</w:t>
      </w:r>
    </w:p>
    <w:p w:rsidR="00903625" w:rsidRPr="002876A1" w:rsidRDefault="002876A1">
      <w:pPr>
        <w:pStyle w:val="Naslov2"/>
        <w:rPr>
          <w:color w:val="auto"/>
        </w:rPr>
      </w:pPr>
      <w:r w:rsidRPr="002876A1">
        <w:rPr>
          <w:color w:val="auto"/>
        </w:rPr>
        <w:t>Oblik rada</w:t>
      </w:r>
    </w:p>
    <w:p w:rsidR="00903625" w:rsidRPr="002876A1" w:rsidRDefault="002876A1">
      <w:r w:rsidRPr="002876A1">
        <w:t xml:space="preserve">frontalni, skupni, suradničko učenje, rasprava / </w:t>
      </w:r>
      <w:r w:rsidRPr="002876A1">
        <w:t>parlaonica</w:t>
      </w:r>
    </w:p>
    <w:p w:rsidR="00903625" w:rsidRPr="002876A1" w:rsidRDefault="002876A1">
      <w:pPr>
        <w:pStyle w:val="Naslov2"/>
        <w:rPr>
          <w:color w:val="auto"/>
        </w:rPr>
      </w:pPr>
      <w:r w:rsidRPr="002876A1">
        <w:rPr>
          <w:color w:val="auto"/>
        </w:rPr>
        <w:t>Međupredmetna tema</w:t>
      </w:r>
    </w:p>
    <w:p w:rsidR="00903625" w:rsidRPr="002876A1" w:rsidRDefault="002876A1">
      <w:r w:rsidRPr="002876A1">
        <w:t>Osobni i socijalni razvoj (OSR)</w:t>
      </w:r>
      <w:r w:rsidRPr="002876A1">
        <w:br/>
        <w:t>Dodatno: Građanski odgoj i obrazovanje</w:t>
      </w:r>
      <w:bookmarkStart w:id="0" w:name="_GoBack"/>
      <w:bookmarkEnd w:id="0"/>
    </w:p>
    <w:p w:rsidR="00903625" w:rsidRPr="002876A1" w:rsidRDefault="002876A1">
      <w:pPr>
        <w:pStyle w:val="Naslov2"/>
        <w:rPr>
          <w:color w:val="auto"/>
        </w:rPr>
      </w:pPr>
      <w:r w:rsidRPr="002876A1">
        <w:rPr>
          <w:color w:val="auto"/>
        </w:rPr>
        <w:t>Odgojno-obrazovni ishodi</w:t>
      </w:r>
    </w:p>
    <w:p w:rsidR="00903625" w:rsidRPr="002876A1" w:rsidRDefault="002876A1">
      <w:pPr>
        <w:pStyle w:val="Grafikeoznake"/>
      </w:pPr>
      <w:r w:rsidRPr="002876A1">
        <w:t>razvija komunikacijske vještine</w:t>
      </w:r>
    </w:p>
    <w:p w:rsidR="00903625" w:rsidRPr="002876A1" w:rsidRDefault="002876A1">
      <w:pPr>
        <w:pStyle w:val="Grafikeoznake"/>
      </w:pPr>
      <w:r w:rsidRPr="002876A1">
        <w:t>osvještava važnost emocija u odnosima</w:t>
      </w:r>
    </w:p>
    <w:p w:rsidR="00903625" w:rsidRPr="002876A1" w:rsidRDefault="002876A1">
      <w:pPr>
        <w:pStyle w:val="Grafikeoznake"/>
      </w:pPr>
      <w:r w:rsidRPr="002876A1">
        <w:t>uvažava različita mišljenja</w:t>
      </w:r>
    </w:p>
    <w:p w:rsidR="00903625" w:rsidRPr="002876A1" w:rsidRDefault="002876A1">
      <w:pPr>
        <w:pStyle w:val="Grafikeoznake"/>
      </w:pPr>
      <w:r w:rsidRPr="002876A1">
        <w:t>razvija suradnju i toleranciju m</w:t>
      </w:r>
      <w:r w:rsidRPr="002876A1">
        <w:t>eđu vršnjacima</w:t>
      </w:r>
    </w:p>
    <w:p w:rsidR="00903625" w:rsidRPr="002876A1" w:rsidRDefault="002876A1">
      <w:pPr>
        <w:pStyle w:val="Grafikeoznake"/>
      </w:pPr>
      <w:r w:rsidRPr="002876A1">
        <w:t>argumentirano iznosi vlastito mišljenje</w:t>
      </w:r>
    </w:p>
    <w:p w:rsidR="00903625" w:rsidRPr="002876A1" w:rsidRDefault="002876A1">
      <w:pPr>
        <w:pStyle w:val="Naslov2"/>
        <w:rPr>
          <w:color w:val="auto"/>
        </w:rPr>
      </w:pPr>
      <w:r w:rsidRPr="002876A1">
        <w:rPr>
          <w:color w:val="auto"/>
        </w:rPr>
        <w:t>Nastavna sredstva i pomagala</w:t>
      </w:r>
    </w:p>
    <w:p w:rsidR="00903625" w:rsidRPr="002876A1" w:rsidRDefault="002876A1">
      <w:pPr>
        <w:pStyle w:val="Grafikeoznake"/>
      </w:pPr>
      <w:r w:rsidRPr="002876A1">
        <w:t>listići za rad</w:t>
      </w:r>
    </w:p>
    <w:p w:rsidR="00903625" w:rsidRPr="002876A1" w:rsidRDefault="002876A1">
      <w:pPr>
        <w:pStyle w:val="Grafikeoznake"/>
      </w:pPr>
      <w:r w:rsidRPr="002876A1">
        <w:t>ploča / projektor</w:t>
      </w:r>
    </w:p>
    <w:p w:rsidR="00903625" w:rsidRPr="002876A1" w:rsidRDefault="002876A1">
      <w:pPr>
        <w:pStyle w:val="Grafikeoznake"/>
      </w:pPr>
      <w:r w:rsidRPr="002876A1">
        <w:t>flomasteri</w:t>
      </w:r>
    </w:p>
    <w:p w:rsidR="00903625" w:rsidRPr="002876A1" w:rsidRDefault="002876A1">
      <w:pPr>
        <w:pStyle w:val="Grafikeoznake"/>
      </w:pPr>
      <w:r w:rsidRPr="002876A1">
        <w:t>papiri za bilješke</w:t>
      </w:r>
    </w:p>
    <w:p w:rsidR="00903625" w:rsidRPr="002876A1" w:rsidRDefault="002876A1">
      <w:pPr>
        <w:pStyle w:val="Naslov2"/>
        <w:rPr>
          <w:color w:val="auto"/>
        </w:rPr>
      </w:pPr>
      <w:r w:rsidRPr="002876A1">
        <w:rPr>
          <w:color w:val="auto"/>
        </w:rPr>
        <w:t>Tijek sata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75"/>
        <w:gridCol w:w="1728"/>
        <w:gridCol w:w="1684"/>
        <w:gridCol w:w="1896"/>
        <w:gridCol w:w="1647"/>
      </w:tblGrid>
      <w:tr w:rsidR="002876A1" w:rsidRPr="002876A1">
        <w:tc>
          <w:tcPr>
            <w:tcW w:w="1728" w:type="dxa"/>
          </w:tcPr>
          <w:p w:rsidR="00903625" w:rsidRPr="002876A1" w:rsidRDefault="002876A1">
            <w:r w:rsidRPr="002876A1">
              <w:t>Etapa sata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Aktivnosti učitelja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Aktivnosti učenika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Metode i oblici rada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Vrijeme</w:t>
            </w:r>
          </w:p>
        </w:tc>
      </w:tr>
      <w:tr w:rsidR="002876A1" w:rsidRPr="002876A1">
        <w:tc>
          <w:tcPr>
            <w:tcW w:w="1728" w:type="dxa"/>
          </w:tcPr>
          <w:p w:rsidR="00903625" w:rsidRPr="002876A1" w:rsidRDefault="002876A1">
            <w:proofErr w:type="spellStart"/>
            <w:r w:rsidRPr="002876A1">
              <w:t>Uvodni</w:t>
            </w:r>
            <w:proofErr w:type="spellEnd"/>
            <w:r w:rsidRPr="002876A1">
              <w:t xml:space="preserve"> </w:t>
            </w:r>
            <w:proofErr w:type="spellStart"/>
            <w:r w:rsidRPr="002876A1">
              <w:t>dio</w:t>
            </w:r>
            <w:proofErr w:type="spellEnd"/>
          </w:p>
        </w:tc>
        <w:tc>
          <w:tcPr>
            <w:tcW w:w="1728" w:type="dxa"/>
          </w:tcPr>
          <w:p w:rsidR="00903625" w:rsidRPr="002876A1" w:rsidRDefault="002876A1">
            <w:r w:rsidRPr="002876A1">
              <w:t>Postavlja pitanje i objašnjava pravila parlaonice.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Izražavaju početna mišljenja i slušaju pravila rada.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razgovor, frontalni rad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5 min</w:t>
            </w:r>
          </w:p>
        </w:tc>
      </w:tr>
      <w:tr w:rsidR="002876A1" w:rsidRPr="002876A1">
        <w:tc>
          <w:tcPr>
            <w:tcW w:w="1728" w:type="dxa"/>
          </w:tcPr>
          <w:p w:rsidR="00903625" w:rsidRPr="002876A1" w:rsidRDefault="002876A1">
            <w:proofErr w:type="spellStart"/>
            <w:r w:rsidRPr="002876A1">
              <w:t>Priprema</w:t>
            </w:r>
            <w:proofErr w:type="spellEnd"/>
            <w:r w:rsidRPr="002876A1">
              <w:t xml:space="preserve"> </w:t>
            </w:r>
            <w:proofErr w:type="spellStart"/>
            <w:r w:rsidRPr="002876A1">
              <w:t>za</w:t>
            </w:r>
            <w:proofErr w:type="spellEnd"/>
            <w:r w:rsidRPr="002876A1">
              <w:t xml:space="preserve"> </w:t>
            </w:r>
            <w:proofErr w:type="spellStart"/>
            <w:r w:rsidRPr="002876A1">
              <w:t>parlaonicu</w:t>
            </w:r>
            <w:proofErr w:type="spellEnd"/>
          </w:p>
        </w:tc>
        <w:tc>
          <w:tcPr>
            <w:tcW w:w="1728" w:type="dxa"/>
          </w:tcPr>
          <w:p w:rsidR="00903625" w:rsidRPr="002876A1" w:rsidRDefault="002876A1">
            <w:r w:rsidRPr="002876A1">
              <w:t>Dijeli učenike u skupine i daje upute.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Pripremaju argumente i podjelu uloga.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suradničko učenje, sk</w:t>
            </w:r>
            <w:r w:rsidRPr="002876A1">
              <w:t>upni rad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10–15 min</w:t>
            </w:r>
          </w:p>
        </w:tc>
      </w:tr>
      <w:tr w:rsidR="002876A1" w:rsidRPr="002876A1">
        <w:tc>
          <w:tcPr>
            <w:tcW w:w="1728" w:type="dxa"/>
          </w:tcPr>
          <w:p w:rsidR="00903625" w:rsidRPr="002876A1" w:rsidRDefault="002876A1">
            <w:proofErr w:type="spellStart"/>
            <w:r w:rsidRPr="002876A1">
              <w:lastRenderedPageBreak/>
              <w:t>Parlaonica</w:t>
            </w:r>
            <w:proofErr w:type="spellEnd"/>
          </w:p>
        </w:tc>
        <w:tc>
          <w:tcPr>
            <w:tcW w:w="1728" w:type="dxa"/>
          </w:tcPr>
          <w:p w:rsidR="00903625" w:rsidRPr="002876A1" w:rsidRDefault="002876A1">
            <w:r w:rsidRPr="002876A1">
              <w:t>Moderira raspravu i potiče argumentiranje.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Izlažu argumente i odgovaraju na replike.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rasprava, parlaonica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15–20 min</w:t>
            </w:r>
          </w:p>
        </w:tc>
      </w:tr>
      <w:tr w:rsidR="002876A1" w:rsidRPr="002876A1">
        <w:tc>
          <w:tcPr>
            <w:tcW w:w="1728" w:type="dxa"/>
          </w:tcPr>
          <w:p w:rsidR="00903625" w:rsidRPr="002876A1" w:rsidRDefault="002876A1">
            <w:proofErr w:type="spellStart"/>
            <w:r w:rsidRPr="002876A1">
              <w:t>Završni</w:t>
            </w:r>
            <w:proofErr w:type="spellEnd"/>
            <w:r w:rsidRPr="002876A1">
              <w:t xml:space="preserve"> </w:t>
            </w:r>
            <w:proofErr w:type="spellStart"/>
            <w:r w:rsidRPr="002876A1">
              <w:t>dio</w:t>
            </w:r>
            <w:proofErr w:type="spellEnd"/>
          </w:p>
        </w:tc>
        <w:tc>
          <w:tcPr>
            <w:tcW w:w="1728" w:type="dxa"/>
          </w:tcPr>
          <w:p w:rsidR="00903625" w:rsidRPr="002876A1" w:rsidRDefault="002876A1">
            <w:r w:rsidRPr="002876A1">
              <w:t>Vodi refleksiju o emocijama i prijateljstvu.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Izražavaju dojmove i ispunjavaju listić.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 xml:space="preserve">razgovor, </w:t>
            </w:r>
            <w:r w:rsidRPr="002876A1">
              <w:t>samovrednovanje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5–10 min</w:t>
            </w:r>
          </w:p>
        </w:tc>
      </w:tr>
    </w:tbl>
    <w:p w:rsidR="00903625" w:rsidRPr="002876A1" w:rsidRDefault="002876A1">
      <w:pPr>
        <w:pStyle w:val="Naslov2"/>
        <w:rPr>
          <w:color w:val="auto"/>
        </w:rPr>
      </w:pPr>
      <w:proofErr w:type="spellStart"/>
      <w:r w:rsidRPr="002876A1">
        <w:rPr>
          <w:color w:val="auto"/>
        </w:rPr>
        <w:t>Vrednovanje</w:t>
      </w:r>
      <w:proofErr w:type="spellEnd"/>
    </w:p>
    <w:p w:rsidR="00903625" w:rsidRPr="002876A1" w:rsidRDefault="002876A1">
      <w:pPr>
        <w:pStyle w:val="Grafikeoznake"/>
      </w:pPr>
      <w:r w:rsidRPr="002876A1">
        <w:t>praćenje sudjelovanja učenika</w:t>
      </w:r>
    </w:p>
    <w:p w:rsidR="00903625" w:rsidRPr="002876A1" w:rsidRDefault="002876A1">
      <w:pPr>
        <w:pStyle w:val="Grafikeoznake"/>
      </w:pPr>
      <w:r w:rsidRPr="002876A1">
        <w:t>opažanje suradnje u skupini</w:t>
      </w:r>
    </w:p>
    <w:p w:rsidR="00903625" w:rsidRPr="002876A1" w:rsidRDefault="002876A1">
      <w:pPr>
        <w:pStyle w:val="Grafikeoznake"/>
      </w:pPr>
      <w:r w:rsidRPr="002876A1">
        <w:t>kvaliteta argumentacije i komunikacije</w:t>
      </w:r>
    </w:p>
    <w:p w:rsidR="00903625" w:rsidRPr="002876A1" w:rsidRDefault="002876A1">
      <w:pPr>
        <w:pStyle w:val="Grafikeoznake"/>
      </w:pPr>
      <w:r w:rsidRPr="002876A1">
        <w:t>samovrednovanje učenika</w:t>
      </w:r>
    </w:p>
    <w:p w:rsidR="00903625" w:rsidRPr="002876A1" w:rsidRDefault="002876A1">
      <w:pPr>
        <w:pStyle w:val="Naslov2"/>
        <w:rPr>
          <w:color w:val="auto"/>
        </w:rPr>
      </w:pPr>
      <w:r w:rsidRPr="002876A1">
        <w:rPr>
          <w:color w:val="auto"/>
        </w:rPr>
        <w:t>Rubrika za vrednovanje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28"/>
        <w:gridCol w:w="1726"/>
        <w:gridCol w:w="1726"/>
        <w:gridCol w:w="1726"/>
        <w:gridCol w:w="1724"/>
      </w:tblGrid>
      <w:tr w:rsidR="002876A1" w:rsidRPr="002876A1">
        <w:tc>
          <w:tcPr>
            <w:tcW w:w="1728" w:type="dxa"/>
          </w:tcPr>
          <w:p w:rsidR="00903625" w:rsidRPr="002876A1" w:rsidRDefault="002876A1">
            <w:r w:rsidRPr="002876A1">
              <w:t>Kriterij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Zadovoljava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Dobar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Vrlo dobar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Odličan</w:t>
            </w:r>
          </w:p>
        </w:tc>
      </w:tr>
      <w:tr w:rsidR="002876A1" w:rsidRPr="002876A1">
        <w:tc>
          <w:tcPr>
            <w:tcW w:w="1728" w:type="dxa"/>
          </w:tcPr>
          <w:p w:rsidR="00903625" w:rsidRPr="002876A1" w:rsidRDefault="002876A1">
            <w:proofErr w:type="spellStart"/>
            <w:r w:rsidRPr="002876A1">
              <w:t>Sudjelovanje</w:t>
            </w:r>
            <w:proofErr w:type="spellEnd"/>
          </w:p>
        </w:tc>
        <w:tc>
          <w:tcPr>
            <w:tcW w:w="1728" w:type="dxa"/>
          </w:tcPr>
          <w:p w:rsidR="00903625" w:rsidRPr="002876A1" w:rsidRDefault="002876A1">
            <w:r w:rsidRPr="002876A1">
              <w:t xml:space="preserve">rijetko </w:t>
            </w:r>
            <w:r w:rsidRPr="002876A1">
              <w:t>sudjeluje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povremeno sudjeluje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aktivno sudjeluje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vrlo aktivno sudjeluje</w:t>
            </w:r>
          </w:p>
        </w:tc>
      </w:tr>
      <w:tr w:rsidR="002876A1" w:rsidRPr="002876A1">
        <w:tc>
          <w:tcPr>
            <w:tcW w:w="1728" w:type="dxa"/>
          </w:tcPr>
          <w:p w:rsidR="00903625" w:rsidRPr="002876A1" w:rsidRDefault="002876A1">
            <w:proofErr w:type="spellStart"/>
            <w:r w:rsidRPr="002876A1">
              <w:t>Argumentiranje</w:t>
            </w:r>
            <w:proofErr w:type="spellEnd"/>
          </w:p>
        </w:tc>
        <w:tc>
          <w:tcPr>
            <w:tcW w:w="1728" w:type="dxa"/>
          </w:tcPr>
          <w:p w:rsidR="00903625" w:rsidRPr="002876A1" w:rsidRDefault="002876A1">
            <w:r w:rsidRPr="002876A1">
              <w:t>argumenti nejasni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djelomično obrazloženi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jasno obrazloženi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vrlo uvjerljivi</w:t>
            </w:r>
          </w:p>
        </w:tc>
      </w:tr>
      <w:tr w:rsidR="002876A1" w:rsidRPr="002876A1">
        <w:tc>
          <w:tcPr>
            <w:tcW w:w="1728" w:type="dxa"/>
          </w:tcPr>
          <w:p w:rsidR="00903625" w:rsidRPr="002876A1" w:rsidRDefault="002876A1">
            <w:proofErr w:type="spellStart"/>
            <w:r w:rsidRPr="002876A1">
              <w:t>Komunikacija</w:t>
            </w:r>
            <w:proofErr w:type="spellEnd"/>
          </w:p>
        </w:tc>
        <w:tc>
          <w:tcPr>
            <w:tcW w:w="1728" w:type="dxa"/>
          </w:tcPr>
          <w:p w:rsidR="00903625" w:rsidRPr="002876A1" w:rsidRDefault="002876A1">
            <w:r w:rsidRPr="002876A1">
              <w:t>ne sluša druge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povremeno sluša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uvažava druge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aktivno sluša i potiče suradnju</w:t>
            </w:r>
          </w:p>
        </w:tc>
      </w:tr>
      <w:tr w:rsidR="002876A1" w:rsidRPr="002876A1">
        <w:tc>
          <w:tcPr>
            <w:tcW w:w="1728" w:type="dxa"/>
          </w:tcPr>
          <w:p w:rsidR="00903625" w:rsidRPr="002876A1" w:rsidRDefault="002876A1">
            <w:proofErr w:type="spellStart"/>
            <w:r w:rsidRPr="002876A1">
              <w:t>Suradnja</w:t>
            </w:r>
            <w:proofErr w:type="spellEnd"/>
          </w:p>
        </w:tc>
        <w:tc>
          <w:tcPr>
            <w:tcW w:w="1728" w:type="dxa"/>
          </w:tcPr>
          <w:p w:rsidR="00903625" w:rsidRPr="002876A1" w:rsidRDefault="002876A1">
            <w:r w:rsidRPr="002876A1">
              <w:t>teško surađuje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djelomično surađuje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dobro surađuje</w:t>
            </w:r>
          </w:p>
        </w:tc>
        <w:tc>
          <w:tcPr>
            <w:tcW w:w="1728" w:type="dxa"/>
          </w:tcPr>
          <w:p w:rsidR="00903625" w:rsidRPr="002876A1" w:rsidRDefault="002876A1">
            <w:r w:rsidRPr="002876A1">
              <w:t>izvrsno surađuje</w:t>
            </w:r>
          </w:p>
        </w:tc>
      </w:tr>
    </w:tbl>
    <w:p w:rsidR="00903625" w:rsidRPr="002876A1" w:rsidRDefault="002876A1">
      <w:pPr>
        <w:pStyle w:val="Naslov2"/>
        <w:rPr>
          <w:color w:val="auto"/>
        </w:rPr>
      </w:pPr>
      <w:proofErr w:type="spellStart"/>
      <w:r w:rsidRPr="002876A1">
        <w:rPr>
          <w:color w:val="auto"/>
        </w:rPr>
        <w:t>Pitanja</w:t>
      </w:r>
      <w:proofErr w:type="spellEnd"/>
      <w:r w:rsidRPr="002876A1">
        <w:rPr>
          <w:color w:val="auto"/>
        </w:rPr>
        <w:t xml:space="preserve"> </w:t>
      </w:r>
      <w:proofErr w:type="spellStart"/>
      <w:r w:rsidRPr="002876A1">
        <w:rPr>
          <w:color w:val="auto"/>
        </w:rPr>
        <w:t>za</w:t>
      </w:r>
      <w:proofErr w:type="spellEnd"/>
      <w:r w:rsidRPr="002876A1">
        <w:rPr>
          <w:color w:val="auto"/>
        </w:rPr>
        <w:t xml:space="preserve"> </w:t>
      </w:r>
      <w:proofErr w:type="spellStart"/>
      <w:r w:rsidRPr="002876A1">
        <w:rPr>
          <w:color w:val="auto"/>
        </w:rPr>
        <w:t>refleksiju</w:t>
      </w:r>
      <w:proofErr w:type="spellEnd"/>
    </w:p>
    <w:p w:rsidR="00903625" w:rsidRPr="002876A1" w:rsidRDefault="002876A1">
      <w:pPr>
        <w:pStyle w:val="Grafikeoznake"/>
      </w:pPr>
      <w:r w:rsidRPr="002876A1">
        <w:t>Je li uvijek lako biti iskren?</w:t>
      </w:r>
    </w:p>
    <w:p w:rsidR="00903625" w:rsidRPr="002876A1" w:rsidRDefault="002876A1">
      <w:pPr>
        <w:pStyle w:val="Grafikeoznake"/>
      </w:pPr>
      <w:r w:rsidRPr="002876A1">
        <w:t>Kako možemo reći istinu bez povređivanja?</w:t>
      </w:r>
    </w:p>
    <w:p w:rsidR="00903625" w:rsidRPr="002876A1" w:rsidRDefault="002876A1">
      <w:pPr>
        <w:pStyle w:val="Grafikeoznake"/>
      </w:pPr>
      <w:r w:rsidRPr="002876A1">
        <w:t>Zašto je važno razumjeti emocije drugih?</w:t>
      </w:r>
    </w:p>
    <w:p w:rsidR="00903625" w:rsidRPr="002876A1" w:rsidRDefault="002876A1" w:rsidP="003466F2">
      <w:pPr>
        <w:pStyle w:val="Grafikeoznake"/>
      </w:pPr>
      <w:proofErr w:type="spellStart"/>
      <w:r w:rsidRPr="002876A1">
        <w:t>Što</w:t>
      </w:r>
      <w:proofErr w:type="spellEnd"/>
      <w:r w:rsidRPr="002876A1">
        <w:t xml:space="preserve"> </w:t>
      </w:r>
      <w:proofErr w:type="spellStart"/>
      <w:r w:rsidRPr="002876A1">
        <w:t>čini</w:t>
      </w:r>
      <w:proofErr w:type="spellEnd"/>
      <w:r w:rsidRPr="002876A1">
        <w:t xml:space="preserve"> </w:t>
      </w:r>
      <w:proofErr w:type="spellStart"/>
      <w:r w:rsidRPr="002876A1">
        <w:t>dobrog</w:t>
      </w:r>
      <w:proofErr w:type="spellEnd"/>
      <w:r w:rsidRPr="002876A1">
        <w:t xml:space="preserve"> </w:t>
      </w:r>
      <w:proofErr w:type="spellStart"/>
      <w:r w:rsidRPr="002876A1">
        <w:t>prijatelja</w:t>
      </w:r>
      <w:proofErr w:type="spellEnd"/>
      <w:r w:rsidRPr="002876A1">
        <w:t>?</w:t>
      </w:r>
    </w:p>
    <w:sectPr w:rsidR="00903625" w:rsidRPr="002876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876A1"/>
    <w:rsid w:val="0029639D"/>
    <w:rsid w:val="00326F90"/>
    <w:rsid w:val="003466F2"/>
    <w:rsid w:val="0090362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21C53"/>
  <w14:defaultImageDpi w14:val="300"/>
  <w15:docId w15:val="{EB2CDCE4-7047-414F-970E-AF0C25D7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56D8DA-C6A9-4E82-A128-E20E71C3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Visnja Cvek</cp:lastModifiedBy>
  <cp:revision>4</cp:revision>
  <dcterms:created xsi:type="dcterms:W3CDTF">2026-05-14T12:39:00Z</dcterms:created>
  <dcterms:modified xsi:type="dcterms:W3CDTF">2026-05-14T12:40:00Z</dcterms:modified>
  <cp:category/>
</cp:coreProperties>
</file>